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1D7BE9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1D7BE9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 w:rsidRPr="001D7B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Балчик,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1D7BE9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1D7BE9" w:rsidRDefault="00F54D12" w:rsidP="001D7BE9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Балчик,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Pr="001D7BE9" w:rsidRDefault="00F54D12" w:rsidP="001D7BE9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Pr="001D7BE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1D7BE9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Pr="001D7BE9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1D7BE9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1D7BE9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Балчик,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1D7BE9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1D7BE9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1D7BE9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1D7BE9" w:rsidRDefault="004530D4" w:rsidP="004239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077186" w:rsidRDefault="004530D4" w:rsidP="0042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077186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077186" w:rsidRDefault="004530D4" w:rsidP="004239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077186" w:rsidRDefault="004530D4" w:rsidP="004239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077186" w:rsidRDefault="009E5690" w:rsidP="0042391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74B9AB1" w14:textId="3F4D1F51" w:rsidR="00065072" w:rsidRPr="00065072" w:rsidRDefault="00065072" w:rsidP="00065072">
      <w:pPr>
        <w:rPr>
          <w:rFonts w:ascii="Times New Roman" w:hAnsi="Times New Roman" w:cs="Times New Roman"/>
          <w:b/>
          <w:sz w:val="24"/>
          <w:szCs w:val="24"/>
        </w:rPr>
      </w:pPr>
      <w:r w:rsidRPr="0006507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Рехабилитация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част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водопроводната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мрежа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и СВО на с.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Соколово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Балчик с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обхват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Искър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272.00 м;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Тунджа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“– 573.00 м;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."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Марица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" - 93.00 м, в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."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" и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."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Тунджа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 xml:space="preserve">; 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“, в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Марица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Латинка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1570.00 м (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дясно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посока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Дч-Бк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“, в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Мургаш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Люлин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1192.00 м (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ляво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посока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Дч-Бк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“, в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Родопи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Мургаш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554.00 м (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ляво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посока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Дч-Бк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Комсомолска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в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участък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Ропотамо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065072">
        <w:rPr>
          <w:rFonts w:ascii="Times New Roman" w:hAnsi="Times New Roman" w:cs="Times New Roman"/>
          <w:b/>
          <w:sz w:val="24"/>
          <w:szCs w:val="24"/>
        </w:rPr>
        <w:t>Латинка</w:t>
      </w:r>
      <w:proofErr w:type="spellEnd"/>
      <w:proofErr w:type="gramStart"/>
      <w:r w:rsidRPr="00065072">
        <w:rPr>
          <w:rFonts w:ascii="Times New Roman" w:hAnsi="Times New Roman" w:cs="Times New Roman"/>
          <w:b/>
          <w:sz w:val="24"/>
          <w:szCs w:val="24"/>
        </w:rPr>
        <w:t>“ -</w:t>
      </w:r>
      <w:proofErr w:type="gramEnd"/>
      <w:r w:rsidRPr="00065072">
        <w:rPr>
          <w:rFonts w:ascii="Times New Roman" w:hAnsi="Times New Roman" w:cs="Times New Roman"/>
          <w:b/>
          <w:sz w:val="24"/>
          <w:szCs w:val="24"/>
        </w:rPr>
        <w:t xml:space="preserve"> 1343.00 м.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6E6D19D8" w14:textId="77777777" w:rsidR="00D574C2" w:rsidRPr="00077186" w:rsidRDefault="00D574C2" w:rsidP="004239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С реализацията на проекта ще се изпълнят следните задачи:</w:t>
      </w:r>
    </w:p>
    <w:p w14:paraId="52A80F3B" w14:textId="7EBBD239" w:rsidR="00F227C0" w:rsidRPr="0042391C" w:rsidRDefault="004240FB" w:rsidP="0006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771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4C638561" w14:textId="77777777" w:rsidR="00065072" w:rsidRPr="00065072" w:rsidRDefault="00A25C14" w:rsidP="00065072">
      <w:pPr>
        <w:rPr>
          <w:rFonts w:ascii="Times New Roman" w:hAnsi="Times New Roman" w:cs="Times New Roman"/>
          <w:b/>
          <w:sz w:val="24"/>
          <w:szCs w:val="24"/>
        </w:rPr>
      </w:pPr>
      <w:r w:rsidRPr="0007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lastRenderedPageBreak/>
        <w:t xml:space="preserve">2. </w:t>
      </w:r>
      <w:r w:rsidR="00857CA5" w:rsidRPr="0007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4240FB" w:rsidRPr="0007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М</w:t>
      </w:r>
      <w:r w:rsidR="00857CA5" w:rsidRPr="0007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естоположение</w:t>
      </w:r>
      <w:r w:rsidR="00F227C0" w:rsidRPr="0007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Соколово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Балчик с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обхват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Искър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272.00 м;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Тунджа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“– 573.00 м;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."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Марица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" - 93.00 м, в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."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" и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."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Тунджа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; 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“, в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Марица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Латинка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1570.00 м (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дясно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посока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Дч-Бк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“, в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Мургаш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Люлин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1192.00 м (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ляво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посока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Дч-Бк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Кирил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Методий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“, в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участъка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Родопи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Мургаш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–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554.00 м (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ляво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посока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Дч-Бк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Комсомолска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в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участък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между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Ропотамо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и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065072" w:rsidRPr="0006507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Латинка</w:t>
      </w:r>
      <w:proofErr w:type="spellEnd"/>
      <w:proofErr w:type="gramStart"/>
      <w:r w:rsidR="00065072" w:rsidRPr="00065072">
        <w:rPr>
          <w:rFonts w:ascii="Times New Roman" w:hAnsi="Times New Roman" w:cs="Times New Roman"/>
          <w:b/>
          <w:sz w:val="24"/>
          <w:szCs w:val="24"/>
        </w:rPr>
        <w:t>“ -</w:t>
      </w:r>
      <w:proofErr w:type="gramEnd"/>
      <w:r w:rsidR="00065072" w:rsidRPr="00065072">
        <w:rPr>
          <w:rFonts w:ascii="Times New Roman" w:hAnsi="Times New Roman" w:cs="Times New Roman"/>
          <w:b/>
          <w:sz w:val="24"/>
          <w:szCs w:val="24"/>
        </w:rPr>
        <w:t xml:space="preserve"> 1343.00 м.</w:t>
      </w:r>
      <w:r w:rsidR="00065072">
        <w:rPr>
          <w:rFonts w:ascii="Arial" w:hAnsi="Arial" w:cs="Arial"/>
          <w:sz w:val="28"/>
          <w:szCs w:val="28"/>
        </w:rPr>
        <w:t xml:space="preserve">     </w:t>
      </w:r>
    </w:p>
    <w:p w14:paraId="7CC375A4" w14:textId="52B25333" w:rsidR="00A25C14" w:rsidRPr="00077186" w:rsidRDefault="004240FB" w:rsidP="004240FB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07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3. Проектно решение </w:t>
      </w:r>
    </w:p>
    <w:p w14:paraId="6B859541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072">
        <w:rPr>
          <w:rFonts w:ascii="Times New Roman" w:hAnsi="Times New Roman" w:cs="Times New Roman"/>
          <w:sz w:val="24"/>
          <w:szCs w:val="24"/>
        </w:rPr>
        <w:t>Новопроектирания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основен</w:t>
      </w:r>
      <w:proofErr w:type="spellEnd"/>
      <w:proofErr w:type="gram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връзките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съществуващите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улични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тръби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ПЕВП ф200, и ф90 на 10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Диаметърът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е по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техническото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строително-технически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пожар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№ Із-1971/2010 /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2013г /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2 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проектиране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65072">
        <w:rPr>
          <w:rFonts w:ascii="Times New Roman" w:hAnsi="Times New Roman" w:cs="Times New Roman"/>
          <w:sz w:val="24"/>
          <w:szCs w:val="24"/>
        </w:rPr>
        <w:t>експлоатация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водоснабдителни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”.</w:t>
      </w:r>
    </w:p>
    <w:p w14:paraId="671EF10B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7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изготвяне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072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proofErr w:type="gram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проектна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спазени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изискванията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строително-технически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пожар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№ Із-2377/ 05.06.2010 /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2013г./.Съгласно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цитираните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нормативи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трасето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новопроектирания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предвижда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монтирането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пожарни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хидранти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70/80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надземни.Разстоянието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съществуващите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новопроектираните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ПХ е по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малко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равно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 150м.   </w:t>
      </w:r>
    </w:p>
    <w:p w14:paraId="291228EF" w14:textId="77777777" w:rsidR="00065072" w:rsidRPr="00065072" w:rsidRDefault="00065072" w:rsidP="00065072">
      <w:pPr>
        <w:jc w:val="both"/>
        <w:rPr>
          <w:rFonts w:ascii="Times New Roman" w:hAnsi="Times New Roman" w:cs="Times New Roman"/>
          <w:sz w:val="24"/>
          <w:szCs w:val="24"/>
        </w:rPr>
      </w:pPr>
      <w:r w:rsidRPr="0006507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Разпределението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към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сградите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сградни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отклонения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5072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отклонения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ПЕВП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тръби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PN 10,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свързването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предвидено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електрофитинги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допуска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механична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вътре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водомерните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шахти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подлежат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състоянието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връзката.СВО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изградят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уличната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регулация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съгласно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задание.Предвидени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ТСК  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охранителна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гарнитура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чугунено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гърне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разположено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тротоара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0.5 м от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външния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ръб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бордюра.Според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№9  на МРРБ и чл.4,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арматурно-водомерния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възел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разполага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шахта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разстояние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2м от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дворищната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регулационна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92EEB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7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връзките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съществуващите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улични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072">
        <w:rPr>
          <w:rFonts w:ascii="Times New Roman" w:hAnsi="Times New Roman" w:cs="Times New Roman"/>
          <w:sz w:val="24"/>
          <w:szCs w:val="24"/>
        </w:rPr>
        <w:t>водопроводи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предвидено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монтират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СК .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прекъснати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съществуващи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затапят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чупки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опорни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блокове.Същите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съгласно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към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записката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.</w:t>
      </w:r>
    </w:p>
    <w:p w14:paraId="3349BBE6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безтраншейни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преминавания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пътя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Добрич-Балчик.Същите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чертеж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приложен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Пътна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“.</w:t>
      </w:r>
    </w:p>
    <w:p w14:paraId="2EBA27D2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основният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стане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прокопаване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СВО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безизкопно.Водопровода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изпълнява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участъци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техническите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072">
        <w:rPr>
          <w:rFonts w:ascii="Times New Roman" w:hAnsi="Times New Roman" w:cs="Times New Roman"/>
          <w:sz w:val="24"/>
          <w:szCs w:val="24"/>
        </w:rPr>
        <w:t>възможности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.</w:t>
      </w:r>
    </w:p>
    <w:p w14:paraId="36965EC8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Изкопа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земни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почви.На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дъното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изкопа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пясъчна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подложка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мека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пръст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10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положат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тръбите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Обратното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засипване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пясък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тръбата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0.20 м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тръба.Върху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положената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пясъчна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настилка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lastRenderedPageBreak/>
        <w:t>мека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пръст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полага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сигнална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детекторна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лента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метални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нишки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засипва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пласт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0.2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0.4 м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зависимост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техниката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,с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уплътнява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насипа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Останалата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обратният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насип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чакъл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трошен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камък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уплътняване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пластове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през 0.2м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достигане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необходимата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плътност.На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0.5 м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обикновена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сигнална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лента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първоначално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откриване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изкопни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ремонтни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проектното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трасе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улицата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асфалтова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настилка.Същата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възстанови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.</w:t>
      </w:r>
    </w:p>
    <w:p w14:paraId="41BF010A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Достигнатата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плътност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обратния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насип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доказва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065072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акредитирана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лаборатория.Дълбочината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полагане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уличния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е  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най-малко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1.50 м.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Проектната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ширина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изкопа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е 80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.</w:t>
      </w:r>
    </w:p>
    <w:p w14:paraId="5797A310" w14:textId="77777777" w:rsidR="00065072" w:rsidRPr="00065072" w:rsidRDefault="00065072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започване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строителството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строителят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съгласува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трасето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дружества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поддържащи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подземни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комуникации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откриване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комуникации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пречещи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проектната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строителят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незабавно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проектанта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съответните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проекта.В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пресичане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водопровода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подземни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проводи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копае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ръчно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пазят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съществуващите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действащи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подземни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комуникации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нужда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предприеме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укрепването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72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65072">
        <w:rPr>
          <w:rFonts w:ascii="Times New Roman" w:hAnsi="Times New Roman" w:cs="Times New Roman"/>
          <w:sz w:val="24"/>
          <w:szCs w:val="24"/>
        </w:rPr>
        <w:t>.</w:t>
      </w:r>
    </w:p>
    <w:p w14:paraId="1611FE18" w14:textId="77777777" w:rsidR="00077186" w:rsidRPr="00077186" w:rsidRDefault="00077186" w:rsidP="0007718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p w14:paraId="29C57A01" w14:textId="3546F61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4240F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</w:t>
      </w: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077186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5E7BF98A" w:rsidR="00B627DB" w:rsidRPr="00077186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През строителния период ще се  използва </w:t>
      </w:r>
      <w:r w:rsidR="004240FB" w:rsidRPr="00077186">
        <w:rPr>
          <w:rFonts w:ascii="Times New Roman" w:hAnsi="Times New Roman" w:cs="Times New Roman"/>
          <w:sz w:val="24"/>
          <w:szCs w:val="24"/>
          <w:lang w:val="bg-BG"/>
        </w:rPr>
        <w:t>тръби, пясък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и вода.</w:t>
      </w:r>
      <w:r w:rsidR="004240FB"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4B79686" w14:textId="77777777" w:rsidR="00B627DB" w:rsidRPr="00077186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317B90AA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046D8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6B71D226" w:rsidR="00B627DB" w:rsidRPr="00077186" w:rsidRDefault="00B046D8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="00B627D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Очаквани общи емисии на вредни вещества във въздуха по замърсители:</w:t>
      </w:r>
    </w:p>
    <w:p w14:paraId="0D02BEFD" w14:textId="77777777" w:rsidR="00BB15E5" w:rsidRPr="00077186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077186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1BD55CE4" w:rsidR="00B627DB" w:rsidRPr="00077186" w:rsidRDefault="00B046D8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7.</w:t>
      </w:r>
      <w:r w:rsidR="00B627D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Отпадъци, които се очаква да се генерират, и предвиждания за тяхното третиране:</w:t>
      </w:r>
    </w:p>
    <w:p w14:paraId="4D31BB66" w14:textId="77777777" w:rsidR="00B627DB" w:rsidRPr="00077186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077186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съгласно чл. 4 и 5 от Наредбата за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и за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>. 89 от 2012 г.).</w:t>
      </w:r>
    </w:p>
    <w:p w14:paraId="78AE19F3" w14:textId="77777777" w:rsidR="00B627DB" w:rsidRPr="00077186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4F7FF8E2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B046D8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69991379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</w:t>
      </w:r>
      <w:r w:rsidR="001D7BE9"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при необходимост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97B932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3A04CB87" w:rsidR="00B627DB" w:rsidRPr="00077186" w:rsidRDefault="00B046D8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="00B627D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077186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077186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077186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308CE7AB" w:rsidR="00B627DB" w:rsidRPr="00077186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28A05560" w14:textId="2B53D875" w:rsidR="001D7BE9" w:rsidRPr="00077186" w:rsidRDefault="001D7BE9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Схема на трасето</w:t>
      </w:r>
      <w:r w:rsidR="0042391C">
        <w:rPr>
          <w:rFonts w:ascii="Times New Roman" w:hAnsi="Times New Roman" w:cs="Times New Roman"/>
          <w:sz w:val="24"/>
          <w:szCs w:val="24"/>
          <w:lang w:val="bg-BG"/>
        </w:rPr>
        <w:t xml:space="preserve"> – 8 броя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2638BDF" w14:textId="38BF1B26" w:rsidR="00B627DB" w:rsidRPr="00077186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45566E42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3C483B">
        <w:rPr>
          <w:rFonts w:ascii="Times New Roman" w:hAnsi="Times New Roman" w:cs="Times New Roman"/>
          <w:sz w:val="24"/>
          <w:szCs w:val="24"/>
        </w:rPr>
        <w:t>29.10.</w:t>
      </w:r>
      <w:bookmarkStart w:id="0" w:name="_GoBack"/>
      <w:bookmarkEnd w:id="0"/>
      <w:r w:rsidRPr="001D7BE9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sectPr w:rsidR="00B627DB" w:rsidRPr="001D7BE9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45C44554"/>
    <w:multiLevelType w:val="hybridMultilevel"/>
    <w:tmpl w:val="6E0A169C"/>
    <w:lvl w:ilvl="0" w:tplc="415CCB2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65072"/>
    <w:rsid w:val="00077186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C483B"/>
    <w:rsid w:val="003E7F8F"/>
    <w:rsid w:val="00407D25"/>
    <w:rsid w:val="0042391C"/>
    <w:rsid w:val="004240FB"/>
    <w:rsid w:val="004530D4"/>
    <w:rsid w:val="004628C3"/>
    <w:rsid w:val="00482664"/>
    <w:rsid w:val="004967E6"/>
    <w:rsid w:val="004C6892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6D8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349C-818D-48C9-9B9A-C7DAC946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34</cp:revision>
  <cp:lastPrinted>2024-09-09T07:25:00Z</cp:lastPrinted>
  <dcterms:created xsi:type="dcterms:W3CDTF">2022-06-06T08:05:00Z</dcterms:created>
  <dcterms:modified xsi:type="dcterms:W3CDTF">2024-10-29T06:29:00Z</dcterms:modified>
</cp:coreProperties>
</file>